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5"/>
        <w:gridCol w:w="1114"/>
        <w:gridCol w:w="1946"/>
        <w:gridCol w:w="1576"/>
      </w:tblGrid>
      <w:tr w:rsidR="00877747" w:rsidRPr="00877747" w14:paraId="0343C990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2C83BEBB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877747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877747">
              <w:rPr>
                <w:sz w:val="20"/>
                <w:szCs w:val="20"/>
              </w:rPr>
              <w:t>основне академске студије, први ниво</w:t>
            </w:r>
          </w:p>
          <w:p w14:paraId="5538E8B2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i/>
                <w:sz w:val="20"/>
                <w:szCs w:val="20"/>
              </w:rPr>
              <w:t>Модул</w:t>
            </w:r>
            <w:r w:rsidRPr="00877747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77747">
              <w:rPr>
                <w:b/>
                <w:i/>
                <w:sz w:val="20"/>
                <w:szCs w:val="20"/>
              </w:rPr>
              <w:t>Модул 2</w:t>
            </w:r>
            <w:r w:rsidRPr="00877747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877747" w:rsidRPr="00877747" w14:paraId="1E9EA061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5A984512" w14:textId="77777777" w:rsidR="0048404A" w:rsidRPr="00877747" w:rsidRDefault="0048404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МАРКЕТИНГУСЛУГА"/>
            <w:r w:rsidRPr="00877747">
              <w:rPr>
                <w:b/>
                <w:bCs/>
                <w:sz w:val="20"/>
                <w:szCs w:val="20"/>
              </w:rPr>
              <w:t>МАРКЕТИНГ УСЛУГА</w:t>
            </w:r>
            <w:bookmarkEnd w:id="0"/>
          </w:p>
        </w:tc>
      </w:tr>
      <w:tr w:rsidR="00877747" w:rsidRPr="00877747" w14:paraId="0960BEF6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467B75BD" w14:textId="77777777" w:rsidR="0048404A" w:rsidRPr="00877747" w:rsidRDefault="00292992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48404A" w:rsidRPr="00877747">
              <w:rPr>
                <w:b/>
                <w:bCs/>
                <w:sz w:val="20"/>
                <w:szCs w:val="20"/>
              </w:rPr>
              <w:t>Васелић</w:t>
            </w:r>
            <w:r w:rsidRPr="00877747">
              <w:rPr>
                <w:b/>
                <w:bCs/>
                <w:sz w:val="20"/>
                <w:szCs w:val="20"/>
              </w:rPr>
              <w:t xml:space="preserve"> Д. Дарко</w:t>
            </w:r>
          </w:p>
        </w:tc>
      </w:tr>
      <w:tr w:rsidR="00877747" w:rsidRPr="00877747" w14:paraId="636AA6E6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5F8A9B0A" w14:textId="563ECB08" w:rsidR="0048404A" w:rsidRPr="00877747" w:rsidRDefault="0048404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>Статус предмета:</w:t>
            </w:r>
            <w:r w:rsidR="00FA0ADF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877747">
              <w:rPr>
                <w:bCs/>
                <w:sz w:val="20"/>
                <w:szCs w:val="20"/>
              </w:rPr>
              <w:t xml:space="preserve">изборни, трећа </w:t>
            </w:r>
            <w:r w:rsidR="007506D2" w:rsidRPr="00877747">
              <w:rPr>
                <w:bCs/>
                <w:sz w:val="20"/>
                <w:szCs w:val="20"/>
              </w:rPr>
              <w:t>година, пети</w:t>
            </w:r>
            <w:r w:rsidRPr="00877747">
              <w:rPr>
                <w:bCs/>
                <w:sz w:val="20"/>
                <w:szCs w:val="20"/>
              </w:rPr>
              <w:t xml:space="preserve"> семестар</w:t>
            </w:r>
          </w:p>
        </w:tc>
      </w:tr>
      <w:tr w:rsidR="00877747" w:rsidRPr="00877747" w14:paraId="2674792D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0D919E59" w14:textId="77777777" w:rsidR="0048404A" w:rsidRPr="00877747" w:rsidRDefault="0048404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>Број ЕСПБ: 8</w:t>
            </w:r>
          </w:p>
        </w:tc>
      </w:tr>
      <w:tr w:rsidR="00877747" w:rsidRPr="00877747" w14:paraId="4C9EDDBC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5D5979B4" w14:textId="77777777" w:rsidR="0048404A" w:rsidRPr="00877747" w:rsidRDefault="0048404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 xml:space="preserve">Услов: </w:t>
            </w:r>
            <w:r w:rsidRPr="00877747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877747" w:rsidRPr="00877747" w14:paraId="60E426F2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05AD4BFE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644908D1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77747">
              <w:rPr>
                <w:bCs/>
                <w:sz w:val="20"/>
                <w:szCs w:val="20"/>
              </w:rPr>
              <w:t>П</w:t>
            </w:r>
            <w:r w:rsidRPr="00877747">
              <w:rPr>
                <w:sz w:val="20"/>
                <w:szCs w:val="20"/>
              </w:rPr>
              <w:t>редмет се фокусира на разумевање и управљање очекивањима потрошача и евалуацију услуге, дизајнирање услуга које задовољавају и превазилазе очекивања потрошача, управљање успешном испоруком услуге преко људских ресурса и технологије, саопштавање реалистичке и успешних обећања потрошачима. Кроз цео курс, акценти се стављају на укупну организацију и на који начин координирати различите функције у циљу остварења успешног маркетинга.</w:t>
            </w:r>
          </w:p>
        </w:tc>
      </w:tr>
      <w:tr w:rsidR="00877747" w:rsidRPr="00877747" w14:paraId="30EEF256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2BB6F6C5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2525A9C7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877747">
              <w:rPr>
                <w:bCs/>
                <w:sz w:val="20"/>
                <w:szCs w:val="20"/>
              </w:rPr>
              <w:t>Да овладају основним принципима и вештинама решавања комплексних проблема у реализацији маркетинг пројеката, методологијом за валоризацију различитих</w:t>
            </w:r>
            <w:r w:rsidRPr="00877747">
              <w:rPr>
                <w:sz w:val="20"/>
                <w:szCs w:val="20"/>
              </w:rPr>
              <w:t xml:space="preserve"> пројектних маркетинг опција,</w:t>
            </w:r>
            <w:r w:rsidRPr="00877747">
              <w:rPr>
                <w:bCs/>
                <w:sz w:val="20"/>
                <w:szCs w:val="20"/>
              </w:rPr>
              <w:t xml:space="preserve"> развоју услуга што укључује и развој креативних способности, способност критичког мишљења као и развијање способности за тимски рад и овладавање практичним вештинама.</w:t>
            </w:r>
          </w:p>
        </w:tc>
      </w:tr>
      <w:tr w:rsidR="00877747" w:rsidRPr="00877747" w14:paraId="5335854F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59D3AC2D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28811982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i/>
                <w:iCs/>
                <w:sz w:val="20"/>
                <w:szCs w:val="20"/>
              </w:rPr>
            </w:pPr>
            <w:r w:rsidRPr="00877747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7BBC5DED" w14:textId="77777777" w:rsidR="0048404A" w:rsidRPr="00877747" w:rsidRDefault="0048404A" w:rsidP="00C107A9">
            <w:pPr>
              <w:pStyle w:val="Footer"/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  <w:lang w:val="sr-Cyrl-CS"/>
              </w:rPr>
              <w:t>1.Увођење студената у наставну дисциплину и начин рада на наставној дисциплини. Услужна економија</w:t>
            </w:r>
          </w:p>
          <w:p w14:paraId="046C34CD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2.Природа услуге и увод у маркетинг и менаџмент услуга</w:t>
            </w:r>
          </w:p>
          <w:p w14:paraId="46325EEF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3.Дефинисање и мерење сатисфакције потрошача</w:t>
            </w:r>
          </w:p>
          <w:p w14:paraId="1570D516" w14:textId="77777777" w:rsidR="0048404A" w:rsidRPr="00877747" w:rsidRDefault="0048404A" w:rsidP="00C107A9">
            <w:pPr>
              <w:widowControl w:val="0"/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4.Стратегије задржавања потрошача</w:t>
            </w:r>
          </w:p>
          <w:p w14:paraId="24AB73CD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5.Квалитет услуге у функцији сатисфакције потрошача и остварења конкурентске предности</w:t>
            </w:r>
          </w:p>
          <w:p w14:paraId="60864BE6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6.Дизајн и позиционирање услуге</w:t>
            </w:r>
          </w:p>
          <w:p w14:paraId="1B1A9AE3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7.Канали дистрибуције услуга</w:t>
            </w:r>
          </w:p>
          <w:p w14:paraId="66B4B241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8.Први</w:t>
            </w:r>
            <w:r w:rsidRPr="00877747">
              <w:rPr>
                <w:sz w:val="20"/>
                <w:szCs w:val="20"/>
                <w:lang w:val="sr-Latn-BA"/>
              </w:rPr>
              <w:t xml:space="preserve"> парцијални испит</w:t>
            </w:r>
          </w:p>
          <w:p w14:paraId="3D2765DE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9.Стратегије образовања цена и услужни амбијент</w:t>
            </w:r>
          </w:p>
          <w:p w14:paraId="2B7BD1F6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10.Улога људи (запослени и потрошачи) у процесу испоруке услуге</w:t>
            </w:r>
          </w:p>
          <w:p w14:paraId="48329BD0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11.Проблеми дефинисања и имплементације стратегије у услужном бизнису</w:t>
            </w:r>
          </w:p>
          <w:p w14:paraId="58906569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12.Стратегије тржишне комуникације и имиџ услужне организације</w:t>
            </w:r>
          </w:p>
          <w:p w14:paraId="368F47BC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13.Стратегија тржишне комуникације и имиџ услужне организације</w:t>
            </w:r>
          </w:p>
          <w:p w14:paraId="31BFC1ED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14.Стратегија интернационализације услуга</w:t>
            </w:r>
          </w:p>
          <w:p w14:paraId="247F77A4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 xml:space="preserve">15.Имплементација маркетинга у услужном бизнису </w:t>
            </w:r>
          </w:p>
          <w:p w14:paraId="491DA08D" w14:textId="77777777" w:rsidR="0048404A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16.Маркетинг стратегије на виртуелним тржиштима</w:t>
            </w:r>
          </w:p>
          <w:p w14:paraId="10A51020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i/>
                <w:iCs/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17.Други</w:t>
            </w:r>
            <w:r w:rsidRPr="00877747">
              <w:rPr>
                <w:sz w:val="20"/>
                <w:szCs w:val="20"/>
                <w:lang w:val="sr-Latn-BA"/>
              </w:rPr>
              <w:t xml:space="preserve"> парцијални испит</w:t>
            </w:r>
          </w:p>
          <w:p w14:paraId="2768595E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i/>
                <w:iCs/>
                <w:sz w:val="20"/>
                <w:szCs w:val="20"/>
              </w:rPr>
            </w:pPr>
            <w:r w:rsidRPr="00877747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69393866" w14:textId="77777777" w:rsidR="0048404A" w:rsidRPr="00877747" w:rsidRDefault="0048404A" w:rsidP="00C107A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877747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877747" w:rsidRPr="00877747" w14:paraId="284B3B01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474802E3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30A39A7A" w14:textId="77777777" w:rsidR="003A5637" w:rsidRPr="00877747" w:rsidRDefault="0048404A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 xml:space="preserve">1. </w:t>
            </w:r>
            <w:r w:rsidR="003A5637" w:rsidRPr="00877747">
              <w:rPr>
                <w:sz w:val="20"/>
                <w:szCs w:val="20"/>
              </w:rPr>
              <w:t>Вељковић, С. Маркетинг Услуга, ЦИД, Економски факултет, Београд</w:t>
            </w:r>
          </w:p>
          <w:p w14:paraId="0F6A1643" w14:textId="77777777" w:rsidR="0048404A" w:rsidRPr="00877747" w:rsidRDefault="003A5637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 xml:space="preserve">2. </w:t>
            </w:r>
            <w:r w:rsidR="0048404A" w:rsidRPr="00877747">
              <w:rPr>
                <w:sz w:val="20"/>
                <w:szCs w:val="20"/>
              </w:rPr>
              <w:t>Љубојевић Ч.: Маркетинг услуга, Стилос, Нови Сад, 2002.</w:t>
            </w:r>
          </w:p>
          <w:p w14:paraId="73E4B6F1" w14:textId="77777777" w:rsidR="0048404A" w:rsidRPr="00877747" w:rsidRDefault="003A5637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3</w:t>
            </w:r>
            <w:r w:rsidR="0048404A" w:rsidRPr="00877747">
              <w:rPr>
                <w:sz w:val="20"/>
                <w:szCs w:val="20"/>
              </w:rPr>
              <w:t>. Миросављевић, М. Маркетинг услуга, БЛЦ, Бања Лука, 2010.</w:t>
            </w:r>
          </w:p>
        </w:tc>
      </w:tr>
      <w:tr w:rsidR="00877747" w:rsidRPr="00877747" w14:paraId="7C6EA4C6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9236E27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877747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0F45B160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sz w:val="20"/>
                <w:szCs w:val="20"/>
              </w:rPr>
              <w:t>Теоријска настава:   3</w:t>
            </w:r>
          </w:p>
        </w:tc>
        <w:tc>
          <w:tcPr>
            <w:tcW w:w="3522" w:type="dxa"/>
            <w:gridSpan w:val="2"/>
            <w:vAlign w:val="center"/>
          </w:tcPr>
          <w:p w14:paraId="7FB2763B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sz w:val="20"/>
                <w:szCs w:val="20"/>
              </w:rPr>
              <w:t xml:space="preserve">Практична настава:   </w:t>
            </w:r>
            <w:r w:rsidR="007506D2" w:rsidRPr="00877747">
              <w:rPr>
                <w:b/>
                <w:sz w:val="20"/>
                <w:szCs w:val="20"/>
              </w:rPr>
              <w:t>2</w:t>
            </w:r>
          </w:p>
        </w:tc>
      </w:tr>
      <w:tr w:rsidR="00877747" w:rsidRPr="00877747" w14:paraId="121455D1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3BB43D23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0C9A2F46" w14:textId="77777777" w:rsidR="0048404A" w:rsidRPr="00877747" w:rsidRDefault="0048404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  <w:lang w:val="sr-Cyrl-BA"/>
              </w:rPr>
              <w:t>Предавања и вежбе, самостална израда задатака , учење, консултације, семинарски рад.</w:t>
            </w:r>
          </w:p>
        </w:tc>
      </w:tr>
      <w:tr w:rsidR="00877747" w:rsidRPr="00877747" w14:paraId="23B501E7" w14:textId="77777777" w:rsidTr="00C107A9">
        <w:trPr>
          <w:trHeight w:val="227"/>
        </w:trPr>
        <w:tc>
          <w:tcPr>
            <w:tcW w:w="9540" w:type="dxa"/>
            <w:gridSpan w:val="5"/>
            <w:vAlign w:val="center"/>
          </w:tcPr>
          <w:p w14:paraId="312CEE0C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877747" w:rsidRPr="00877747" w14:paraId="4D56CD75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216AF97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iCs/>
                <w:sz w:val="20"/>
                <w:szCs w:val="20"/>
              </w:rPr>
            </w:pPr>
            <w:r w:rsidRPr="00877747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5" w:type="dxa"/>
            <w:vAlign w:val="center"/>
          </w:tcPr>
          <w:p w14:paraId="6B5B284B" w14:textId="77777777" w:rsidR="0048404A" w:rsidRPr="00877747" w:rsidRDefault="0048404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поена</w:t>
            </w:r>
          </w:p>
          <w:p w14:paraId="2325A994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6E74EA1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576" w:type="dxa"/>
            <w:vAlign w:val="center"/>
          </w:tcPr>
          <w:p w14:paraId="22C07BB7" w14:textId="77777777" w:rsidR="0048404A" w:rsidRPr="00877747" w:rsidRDefault="0048404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поена</w:t>
            </w:r>
          </w:p>
        </w:tc>
      </w:tr>
      <w:tr w:rsidR="00877747" w:rsidRPr="00877747" w14:paraId="6E3E3FC4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614E144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5" w:type="dxa"/>
            <w:vAlign w:val="center"/>
          </w:tcPr>
          <w:p w14:paraId="3A12A66D" w14:textId="77777777" w:rsidR="0048404A" w:rsidRPr="00877747" w:rsidRDefault="0048404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87774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78876A54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576" w:type="dxa"/>
            <w:vAlign w:val="center"/>
          </w:tcPr>
          <w:p w14:paraId="7E070455" w14:textId="77777777" w:rsidR="0048404A" w:rsidRPr="00877747" w:rsidRDefault="0048404A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 w:rsidRPr="00877747">
              <w:rPr>
                <w:iCs/>
                <w:sz w:val="20"/>
                <w:szCs w:val="20"/>
              </w:rPr>
              <w:t>30</w:t>
            </w:r>
          </w:p>
        </w:tc>
      </w:tr>
      <w:tr w:rsidR="00877747" w:rsidRPr="00877747" w14:paraId="427932C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5212B07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5" w:type="dxa"/>
            <w:vAlign w:val="center"/>
          </w:tcPr>
          <w:p w14:paraId="447C89E1" w14:textId="77777777" w:rsidR="0048404A" w:rsidRPr="00877747" w:rsidRDefault="0048404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87774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78C24A83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усмени испт</w:t>
            </w:r>
          </w:p>
        </w:tc>
        <w:tc>
          <w:tcPr>
            <w:tcW w:w="1576" w:type="dxa"/>
            <w:vAlign w:val="center"/>
          </w:tcPr>
          <w:p w14:paraId="50B17242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77747" w:rsidRPr="00877747" w14:paraId="4C2375D5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E9CFBB7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5" w:type="dxa"/>
            <w:vAlign w:val="center"/>
          </w:tcPr>
          <w:p w14:paraId="27718103" w14:textId="77777777" w:rsidR="0048404A" w:rsidRPr="00877747" w:rsidRDefault="0048404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87774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486F0849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877747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576" w:type="dxa"/>
            <w:vAlign w:val="center"/>
          </w:tcPr>
          <w:p w14:paraId="669DBB33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77747" w:rsidRPr="00877747" w14:paraId="0780C576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76C5236" w14:textId="77777777" w:rsidR="0048404A" w:rsidRPr="00877747" w:rsidRDefault="0048404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77747">
              <w:rPr>
                <w:sz w:val="20"/>
                <w:szCs w:val="20"/>
              </w:rPr>
              <w:t>семинар-и</w:t>
            </w:r>
          </w:p>
        </w:tc>
        <w:tc>
          <w:tcPr>
            <w:tcW w:w="1885" w:type="dxa"/>
            <w:vAlign w:val="center"/>
          </w:tcPr>
          <w:p w14:paraId="619A8F52" w14:textId="77777777" w:rsidR="0048404A" w:rsidRPr="00877747" w:rsidRDefault="0048404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87774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0" w:type="dxa"/>
            <w:gridSpan w:val="2"/>
            <w:vAlign w:val="center"/>
          </w:tcPr>
          <w:p w14:paraId="0179355A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22007B24" w14:textId="77777777" w:rsidR="0048404A" w:rsidRPr="00877747" w:rsidRDefault="0048404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7223F361" w14:textId="77777777" w:rsidR="00734C0E" w:rsidRDefault="00734C0E"/>
    <w:sectPr w:rsidR="00734C0E" w:rsidSect="00745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04A"/>
    <w:rsid w:val="0018062C"/>
    <w:rsid w:val="00292992"/>
    <w:rsid w:val="003A5637"/>
    <w:rsid w:val="004445EE"/>
    <w:rsid w:val="0048404A"/>
    <w:rsid w:val="00734704"/>
    <w:rsid w:val="00734C0E"/>
    <w:rsid w:val="00745F5B"/>
    <w:rsid w:val="007506D2"/>
    <w:rsid w:val="00877747"/>
    <w:rsid w:val="00901855"/>
    <w:rsid w:val="00FA0ADF"/>
    <w:rsid w:val="00FB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06C36"/>
  <w15:docId w15:val="{EF1515C4-A7B9-4C3D-BEBA-5484137B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48404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484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8</cp:revision>
  <dcterms:created xsi:type="dcterms:W3CDTF">2020-10-19T13:27:00Z</dcterms:created>
  <dcterms:modified xsi:type="dcterms:W3CDTF">2025-07-03T10:06:00Z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90f419be-cd31-4725-ab84-ce2978822ee7</vt:lpwstr>
  </property>
</Properties>
</file>